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360"/>
        <w:ind w:left="449" w:right="0" w:hanging="0"/>
        <w:jc w:val="center"/>
        <w:rPr>
          <w:sz w:val="24"/>
          <w:szCs w:val="24"/>
        </w:rPr>
      </w:pPr>
      <w:r>
        <w:rPr>
          <w:rFonts w:ascii="Verdana" w:hAnsi="Verdana"/>
          <w:sz w:val="22"/>
          <w:szCs w:val="22"/>
          <w:lang w:val="de-DE"/>
        </w:rPr>
        <w:t>Patentansprüche</w:t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sz w:val="22"/>
          <w:szCs w:val="22"/>
          <w:lang w:val="de-DE"/>
        </w:rPr>
        <w:t xml:space="preserve">Mehrzweckflügelkörper </w:t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>mit einer oder zwei vertikal durchgehenden, kreisförmigen Montageöffnung(en) für Vertikalrotoren, als Basismodule für ein modulares Lufttransportsystem mit Senkrechtstart- und -landeeigenschaften, welche geometrisch und konstruktiv so ausgelegt sind, dass durch Ein- und Anbau weiterer Komponenten sowohl komplette Einzelflugkörper als auch durch die Verbindung mehrerer Mehrzweckflügelkörper größere Verbundflugkörper gebildet werden können,</w:t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widowControl/>
        <w:bidi w:val="0"/>
        <w:spacing w:lineRule="auto" w:line="360"/>
        <w:ind w:left="0" w:right="0" w:hanging="0"/>
        <w:jc w:val="left"/>
        <w:rPr>
          <w:sz w:val="24"/>
          <w:szCs w:val="24"/>
        </w:rPr>
      </w:pPr>
      <w:r>
        <w:rPr>
          <w:rFonts w:ascii="Verdana" w:hAnsi="Verdana"/>
          <w:sz w:val="22"/>
          <w:szCs w:val="22"/>
          <w:lang w:val="de-DE"/>
        </w:rPr>
        <w:t>dadurch gekennzeichnet, dass</w:t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>1</w:t>
        <w:tab/>
        <w:t>der Mehrzweckflügelkörper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1 für die Ausstattung mit einem Vertikalrotor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</w:p>
    <w:p>
      <w:pPr>
        <w:pStyle w:val="Normal"/>
        <w:spacing w:lineRule="auto" w:line="360"/>
        <w:rPr>
          <w:rFonts w:ascii="Verdana" w:hAnsi="Verdana"/>
          <w:b/>
          <w:b/>
          <w:bCs/>
          <w:sz w:val="22"/>
          <w:szCs w:val="22"/>
          <w:lang w:val="de-DE"/>
        </w:rPr>
      </w:pPr>
      <w:r>
        <w:rPr>
          <w:rFonts w:ascii="Verdana" w:hAnsi="Verdana"/>
          <w:b/>
          <w:bCs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1.1</w:t>
        <w:tab/>
      </w:r>
      <w:r>
        <w:rPr>
          <w:rFonts w:ascii="Verdana" w:hAnsi="Verdana"/>
          <w:sz w:val="22"/>
          <w:szCs w:val="22"/>
          <w:lang w:val="de-DE"/>
        </w:rPr>
        <w:t>über eine zentrale Öffnung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20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 xml:space="preserve">zur Aufnahme des Vertikalrotors </w:t>
        <w:tab/>
        <w:t>verfügt,</w:t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sz w:val="22"/>
          <w:szCs w:val="22"/>
          <w:lang w:val="de-DE"/>
        </w:rPr>
        <w:t>1.2</w:t>
        <w:tab/>
        <w:t>mittig längs zur Flugrichtung oberhalb dieser Öffnung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20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über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 xml:space="preserve">einen </w:t>
        <w:tab/>
        <w:t xml:space="preserve">bügelförmiger Holm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2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verfügt</w:t>
      </w:r>
      <w:r>
        <w:rPr>
          <w:rFonts w:ascii="Verdana" w:hAnsi="Verdana"/>
          <w:sz w:val="22"/>
          <w:szCs w:val="22"/>
          <w:lang w:val="de-DE"/>
        </w:rPr>
        <w:t xml:space="preserve">, welcher den Tank für den Energieträger </w:t>
        <w:tab/>
        <w:t>oder einen Energiespeicher aufnimmt,</w:t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>1.3</w:t>
        <w:tab/>
        <w:t>über Lager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11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für die Aufnahme von Schließklappen verfügt, mit deren Hilfe </w:t>
        <w:tab/>
        <w:t>die zentrale Öffnung 20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für den Vertikalrotor geschlossen werden kann, </w:t>
        <w:tab/>
        <w:t xml:space="preserve">wodurch der Mehrzweckflügelkörper </w:t>
      </w:r>
      <w:r>
        <w:rPr>
          <w:rFonts w:ascii="Verdana" w:hAnsi="Verdana"/>
          <w:sz w:val="22"/>
          <w:szCs w:val="22"/>
          <w:lang w:val="de-DE"/>
        </w:rPr>
        <w:t xml:space="preserve">im geschlossenen Zustand im </w:t>
        <w:tab/>
        <w:t>Längsschnitt das Profil einer Tragfläche aufweist,</w:t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  <w:tab/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sz w:val="22"/>
          <w:szCs w:val="22"/>
          <w:lang w:val="de-DE"/>
        </w:rPr>
        <w:t>1.4</w:t>
        <w:tab/>
        <w:t>an den Seiten in Flügelstummeln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6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>ausläuft,</w:t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sz w:val="22"/>
          <w:szCs w:val="22"/>
          <w:lang w:val="de-DE"/>
        </w:rPr>
        <w:t xml:space="preserve">1.4.1 in welchen sich die Bauräume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21</w:t>
      </w:r>
      <w:r>
        <w:rPr>
          <w:rFonts w:ascii="Verdana" w:hAnsi="Verdana"/>
          <w:sz w:val="22"/>
          <w:szCs w:val="22"/>
          <w:lang w:val="de-DE"/>
        </w:rPr>
        <w:t xml:space="preserve"> für die Energiewandler oder die</w:t>
        <w:tab/>
        <w:t xml:space="preserve">  </w:t>
        <w:tab/>
        <w:t>Energiespeicher befinden,</w:t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sz w:val="22"/>
          <w:szCs w:val="22"/>
          <w:lang w:val="de-DE"/>
        </w:rPr>
        <w:t>1.4.2 auf welchen Halt</w:t>
      </w:r>
      <w:bookmarkStart w:id="0" w:name="__DdeLink__408_2191321065"/>
      <w:r>
        <w:rPr>
          <w:rFonts w:ascii="Verdana" w:hAnsi="Verdana"/>
          <w:sz w:val="22"/>
          <w:szCs w:val="22"/>
          <w:lang w:val="de-DE"/>
        </w:rPr>
        <w:t>erungen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3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>für schwenkbare Tragflächen</w:t>
      </w:r>
      <w:bookmarkEnd w:id="0"/>
      <w:r>
        <w:rPr>
          <w:rFonts w:ascii="Verdana" w:hAnsi="Verdana"/>
          <w:sz w:val="22"/>
          <w:szCs w:val="22"/>
          <w:lang w:val="de-DE"/>
        </w:rPr>
        <w:t xml:space="preserve"> angebracht </w:t>
        <w:tab/>
        <w:t xml:space="preserve">sind, </w:t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sz w:val="22"/>
          <w:szCs w:val="22"/>
          <w:lang w:val="de-DE"/>
        </w:rPr>
        <w:t>1.4.3 in welchen sich eine Montageöffnung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7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sz w:val="22"/>
          <w:szCs w:val="22"/>
          <w:lang w:val="de-DE"/>
        </w:rPr>
        <w:t xml:space="preserve">zur Aufnahme drehbar </w:t>
        <w:tab/>
        <w:t xml:space="preserve">gelagerter </w:t>
        <w:tab/>
        <w:t>Antriebseinheiten befindet,</w:t>
      </w:r>
    </w:p>
    <w:p>
      <w:pPr>
        <w:pStyle w:val="Normal"/>
        <w:spacing w:lineRule="auto" w:line="360"/>
        <w:rPr>
          <w:rFonts w:ascii="Verdana" w:hAnsi="Verdana"/>
          <w:sz w:val="22"/>
          <w:szCs w:val="22"/>
          <w:lang w:val="de-DE"/>
        </w:rPr>
      </w:pPr>
      <w:r>
        <w:rPr>
          <w:rFonts w:ascii="Verdana" w:hAnsi="Verdana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ascii="Verdana" w:hAnsi="Verdana"/>
          <w:sz w:val="22"/>
          <w:szCs w:val="22"/>
          <w:lang w:val="de-DE"/>
        </w:rPr>
        <w:t>2</w:t>
        <w:tab/>
        <w:t xml:space="preserve">der Mehrzweckflügelkörper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1 für die Ausstattung mit zwei Vertikalrotoren 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2.1</w:t>
        <w:tab/>
        <w:t>über zwei symmetrisch zur Längsachse angeordnete Öffnungen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20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zur </w:t>
        <w:tab/>
        <w:t>Aufnahme der Vertikalrotoren verfügt,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2.2</w:t>
        <w:tab/>
        <w:t>über Bauräume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2 und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21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für den Tank für den Energieträger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oder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  <w:tab/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Energiespeicher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und die Energiewandler oder Energiespeicher mittig im </w:t>
        <w:tab/>
        <w:t>Rumpf zwischen den Flügelwurzeln verfügt,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2.3</w:t>
        <w:tab/>
        <w:t>über Lager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11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für die Aufnahme von Schließklappen verfügt, mit deren Hilfe </w:t>
        <w:tab/>
        <w:t>die beiden Öffnungen 20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für die Vertikalrotoren geschlossen werden können, </w:t>
        <w:tab/>
        <w:t xml:space="preserve">wodurch die Flügel im geschlossenen </w:t>
        <w:tab/>
        <w:t xml:space="preserve">Zustand im Längsschnitt das Profil </w:t>
        <w:tab/>
        <w:t>einer Tragfläche aufweisen,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2.4</w:t>
        <w:tab/>
        <w:t>außen auf der Oberseite der Flügel über Halterungen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3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für schwenkbare </w:t>
        <w:tab/>
        <w:tab/>
        <w:t>Tragflächen verfügt,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2.5</w:t>
        <w:tab/>
        <w:t>an den Außenseiten der Flügel Montageöffnungen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7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zur Aufnahme </w:t>
        <w:tab/>
        <w:t>drehbar gelagerter Antriebseinheiten aufweist,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2.6</w:t>
        <w:tab/>
        <w:t>am Heck über zwei Pylone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23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mit Montageöffnungen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7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verfügt, </w:t>
        <w:tab/>
        <w:t xml:space="preserve">welche eine </w:t>
        <w:tab/>
        <w:t>weitere drehbar gelagerte Antriebseinheit aufnehmen können,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2.7</w:t>
        <w:tab/>
        <w:t>an der Unterseite die Basiselemente 25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des Lastaufnahmesystems sowie die </w:t>
        <w:tab/>
        <w:t>Andockelemente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27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für Standbeine aufweist,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2.8</w:t>
        <w:tab/>
        <w:t xml:space="preserve">am Heck über eine </w:t>
      </w:r>
      <w:r>
        <w:rPr>
          <w:rFonts w:ascii="Verdana" w:hAnsi="Verdana"/>
          <w:b w:val="false"/>
          <w:bCs w:val="false"/>
          <w:color w:val="auto"/>
          <w:sz w:val="22"/>
          <w:szCs w:val="22"/>
          <w:lang w:val="de-DE"/>
        </w:rPr>
        <w:t>Montageöffnung</w:t>
      </w:r>
      <w:r>
        <w:rPr>
          <w:rFonts w:ascii="Verdana" w:hAnsi="Verdana"/>
          <w:b/>
          <w:bCs/>
          <w:color w:val="auto"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color w:val="auto"/>
          <w:sz w:val="22"/>
          <w:szCs w:val="22"/>
          <w:lang w:val="de-DE"/>
        </w:rPr>
        <w:t>28</w:t>
      </w:r>
      <w:r>
        <w:rPr>
          <w:rFonts w:ascii="Verdana" w:hAnsi="Verdana"/>
          <w:b/>
          <w:bCs/>
          <w:color w:val="auto"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color w:val="auto"/>
          <w:sz w:val="22"/>
          <w:szCs w:val="22"/>
          <w:lang w:val="de-DE"/>
        </w:rPr>
        <w:t xml:space="preserve">für eine Signal-, Sensor- und </w:t>
        <w:tab/>
        <w:t>Serviceeinheit verfügt,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color w:val="auto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color w:val="auto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b w:val="false"/>
          <w:bCs w:val="false"/>
          <w:color w:val="auto"/>
          <w:sz w:val="22"/>
          <w:szCs w:val="22"/>
          <w:lang w:val="de-DE"/>
        </w:rPr>
        <w:t>2.9</w:t>
        <w:tab/>
        <w:t>an der Unterseite über Aufnahmeschächte</w:t>
      </w:r>
      <w:r>
        <w:rPr>
          <w:rFonts w:ascii="Verdana" w:hAnsi="Verdana"/>
          <w:b/>
          <w:bCs/>
          <w:color w:val="auto"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color w:val="auto"/>
          <w:sz w:val="22"/>
          <w:szCs w:val="22"/>
          <w:lang w:val="de-DE"/>
        </w:rPr>
        <w:t>26</w:t>
      </w:r>
      <w:r>
        <w:rPr>
          <w:rFonts w:ascii="Verdana" w:hAnsi="Verdana"/>
          <w:b/>
          <w:bCs/>
          <w:color w:val="auto"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color w:val="auto"/>
          <w:sz w:val="22"/>
          <w:szCs w:val="22"/>
          <w:lang w:val="de-DE"/>
        </w:rPr>
        <w:t xml:space="preserve">für die Haltearme der </w:t>
        <w:tab/>
        <w:t>Passagier- und Frachtmodule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lang w:val="de-DE"/>
        </w:rPr>
      </w:pPr>
      <w:r>
        <w:rPr>
          <w:rFonts w:ascii="Verdana" w:hAnsi="Verdana"/>
          <w:b w:val="false"/>
          <w:bCs w:val="false"/>
          <w:lang w:val="de-DE"/>
        </w:rPr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lang w:val="de-DE"/>
        </w:rPr>
      </w:pPr>
      <w:r>
        <w:rPr>
          <w:rFonts w:ascii="Verdana" w:hAnsi="Verdana"/>
          <w:b w:val="false"/>
          <w:bCs w:val="false"/>
          <w:lang w:val="de-DE"/>
        </w:rPr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lang w:val="de-DE"/>
        </w:rPr>
      </w:pPr>
      <w:r>
        <w:rPr>
          <w:rFonts w:ascii="Verdana" w:hAnsi="Verdana"/>
          <w:b w:val="false"/>
          <w:bCs w:val="false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3</w:t>
        <w:tab/>
        <w:t xml:space="preserve">die Mehrzweckflügelkörper nach Anspruch 1 und 2 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3.1</w:t>
        <w:tab/>
        <w:t>auf der Oberseite über Montageöffnungen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10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für Notfallschirme </w:t>
        <w:tab/>
        <w:tab/>
        <w:t xml:space="preserve">verfügen, </w:t>
        <w:tab/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>3.2</w:t>
        <w:tab/>
        <w:t>an der Unterseite Montageöffnungen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17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für Ankersysteme aufweisen </w:t>
        <w:tab/>
        <w:t>und</w:t>
      </w:r>
    </w:p>
    <w:p>
      <w:pPr>
        <w:pStyle w:val="Normal"/>
        <w:spacing w:lineRule="auto" w:line="360"/>
        <w:rPr>
          <w:rFonts w:ascii="Verdana" w:hAnsi="Verdana"/>
          <w:b w:val="false"/>
          <w:b w:val="false"/>
          <w:bCs w:val="false"/>
          <w:sz w:val="22"/>
          <w:szCs w:val="22"/>
          <w:lang w:val="de-DE"/>
        </w:rPr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</w:r>
    </w:p>
    <w:p>
      <w:pPr>
        <w:pStyle w:val="Normal"/>
        <w:spacing w:lineRule="auto" w:line="360"/>
        <w:rPr/>
      </w:pP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3.3 </w:t>
        <w:tab/>
        <w:t>über ein integriertes Blitzschutzsystem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>108</w:t>
      </w:r>
      <w:r>
        <w:rPr>
          <w:rFonts w:ascii="Verdana" w:hAnsi="Verdana"/>
          <w:b/>
          <w:bCs/>
          <w:sz w:val="22"/>
          <w:szCs w:val="22"/>
          <w:lang w:val="de-DE"/>
        </w:rPr>
        <w:t xml:space="preserve"> </w:t>
      </w:r>
      <w:r>
        <w:rPr>
          <w:rFonts w:ascii="Verdana" w:hAnsi="Verdana"/>
          <w:b w:val="false"/>
          <w:bCs w:val="false"/>
          <w:sz w:val="22"/>
          <w:szCs w:val="22"/>
          <w:lang w:val="de-DE"/>
        </w:rPr>
        <w:t xml:space="preserve">verfügen. </w:t>
      </w:r>
    </w:p>
    <w:sectPr>
      <w:type w:val="nextPage"/>
      <w:pgSz w:w="11906" w:h="16838"/>
      <w:pgMar w:left="1512" w:right="1130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merierungszeichen">
    <w:name w:val="Nummerierungszeiche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443</TotalTime>
  <Application>LibreOffice/6.2.0.3$Windows_X86_64 LibreOffice_project/98c6a8a1c6c7b144ce3cc729e34964b47ce25d62</Application>
  <Pages>3</Pages>
  <Words>393</Words>
  <Characters>2559</Characters>
  <CharactersWithSpaces>2966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2019-06-13T13:51:27Z</dcterms:created>
  <dc:creator/>
  <dc:description/>
  <dc:language>en-US</dc:language>
  <cp:lastModifiedBy/>
  <cp:lastPrinted>2019-06-28T09:11:52Z</cp:lastPrinted>
  <dcterms:modified xsi:type="dcterms:W3CDTF">2019-06-28T09:12:17Z</dcterms:modified>
  <cp:revision>30</cp:revision>
  <dc:subject/>
  <dc:title/>
</cp:coreProperties>
</file>